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6EE" w:rsidRDefault="003846EE">
      <w:r>
        <w:t>Qual a sua Técnica?</w:t>
      </w:r>
    </w:p>
    <w:p w:rsidR="00581D66" w:rsidRDefault="003846EE">
      <w:r>
        <w:t>A sua obra defende “menos expressão e mais visualização”. Seus traços abstratos de extremo rigor técnico simbolizam um mundo mutável e instável. Quando observados dão a impressão de movimento, clarões ou vibração muitas vezes mudando de tamanho ou deformando-se. Sua arte usa relações formais entre cores, linhas e superfícies para compor sua realidade não representacional. Sua geometria intensa, sistemática pode até não gerar fortes emoções, mas suas possibilidades gráficas e abstracionistas parecem ser ilimitadas.</w:t>
      </w:r>
    </w:p>
    <w:sectPr w:rsidR="00581D66" w:rsidSect="00581D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3846EE"/>
    <w:rsid w:val="003846EE"/>
    <w:rsid w:val="00581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1D6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456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Helena</cp:lastModifiedBy>
  <cp:revision>1</cp:revision>
  <dcterms:created xsi:type="dcterms:W3CDTF">2010-11-15T17:02:00Z</dcterms:created>
  <dcterms:modified xsi:type="dcterms:W3CDTF">2010-11-15T17:02:00Z</dcterms:modified>
</cp:coreProperties>
</file>